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F" w:rsidRPr="004E4E05" w:rsidRDefault="00A0046F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Медицина және денсаулық сақтау факультеті</w:t>
      </w: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Мамандық бойынша білім беру бағдарламасы:</w:t>
      </w:r>
    </w:p>
    <w:p w:rsidR="00C72DFE" w:rsidRPr="002F0438" w:rsidRDefault="004F7F73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F0438" w:rsidRPr="002677C8">
        <w:rPr>
          <w:rFonts w:ascii="Times New Roman" w:hAnsi="Times New Roman" w:cs="Times New Roman"/>
          <w:b/>
          <w:sz w:val="24"/>
          <w:szCs w:val="24"/>
        </w:rPr>
        <w:t>7М10102</w:t>
      </w:r>
      <w:r w:rsidR="00054429" w:rsidRPr="002F043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054429" w:rsidRPr="002F0438">
        <w:rPr>
          <w:rFonts w:ascii="Times New Roman" w:hAnsi="Times New Roman" w:cs="Times New Roman"/>
          <w:b/>
          <w:sz w:val="24"/>
          <w:szCs w:val="24"/>
        </w:rPr>
        <w:t>Қоғамдық денсаулық сақтау»</w:t>
      </w:r>
      <w:r w:rsidR="002F0438" w:rsidRPr="002F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438">
        <w:rPr>
          <w:rFonts w:ascii="Times New Roman" w:hAnsi="Times New Roman" w:cs="Times New Roman"/>
          <w:b/>
          <w:sz w:val="24"/>
          <w:szCs w:val="24"/>
          <w:lang w:val="kk-KZ"/>
        </w:rPr>
        <w:t>каз.тобы</w:t>
      </w:r>
    </w:p>
    <w:p w:rsidR="00C72DFE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2019-2020 жж. </w:t>
      </w:r>
    </w:p>
    <w:p w:rsidR="00C72DFE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>Көктемгі семестр</w:t>
      </w:r>
    </w:p>
    <w:p w:rsidR="00AD10F8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>  мамандық бойынша бағдарлама</w:t>
      </w:r>
      <w:bookmarkEnd w:id="0"/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72DFE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1005"/>
        <w:gridCol w:w="837"/>
        <w:gridCol w:w="783"/>
        <w:gridCol w:w="1530"/>
        <w:gridCol w:w="1235"/>
      </w:tblGrid>
      <w:tr w:rsidR="00C9253A" w:rsidRPr="004E4E05" w:rsidTr="00193C99">
        <w:trPr>
          <w:trHeight w:val="242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Курстын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Курстын </w:t>
            </w:r>
            <w:r w:rsidR="00AD10F8"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2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Сағаттары</w:t>
            </w: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апталары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Кредиттер саны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ОЖСӨЖ</w:t>
            </w:r>
          </w:p>
          <w:p w:rsidR="00BD53AF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9253A" w:rsidRPr="004E4E05" w:rsidTr="00193C99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4E4E05" w:rsidTr="00193C99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4E4E05" w:rsidRDefault="002F0438" w:rsidP="002F0438">
            <w:pPr>
              <w:pStyle w:val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en-US"/>
              </w:rPr>
              <w:t>E 5</w:t>
            </w:r>
            <w:r w:rsidR="00D825D7" w:rsidRPr="00D319CD">
              <w:rPr>
                <w:b/>
                <w:sz w:val="24"/>
                <w:szCs w:val="24"/>
                <w:highlight w:val="yellow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EE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9253A" w:rsidRPr="004E4E05" w:rsidTr="00193C9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лектор</w:t>
            </w:r>
          </w:p>
        </w:tc>
        <w:tc>
          <w:tcPr>
            <w:tcW w:w="54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Искакова Фарида Аркеновна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м.ғ.д.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4E4E05" w:rsidRDefault="002F0438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часы</w:t>
            </w:r>
          </w:p>
          <w:p w:rsidR="00C9253A" w:rsidRPr="004E4E05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жоспарланған</w:t>
            </w:r>
          </w:p>
        </w:tc>
      </w:tr>
      <w:tr w:rsidR="00C9253A" w:rsidRPr="004F7F73" w:rsidTr="00193C9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734F9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C9253A" w:rsidRPr="004E4E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9253A"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E6D" w:rsidRPr="004E4E05" w:rsidRDefault="00C9253A" w:rsidP="009A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r w:rsidR="009A3241"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iskakovaf@gmail.com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4E4E05" w:rsidTr="00193C9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4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9A3241" w:rsidP="009A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+7 701 101 3086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EE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319CD" w:rsidRDefault="0010129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319C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6B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8033"/>
      </w:tblGrid>
      <w:tr w:rsidR="00C9253A" w:rsidRPr="00EE17C5" w:rsidTr="001B58B0">
        <w:trPr>
          <w:trHeight w:val="247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EE17C5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Академиялық курстың презентациясы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Default="00EE17C5" w:rsidP="00CC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Курстың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 xml:space="preserve"> студенттерге эпидемиологияның терминологиясын, теориясын, принциптері мен әдістерін ұсыну. Курс денсаулық сақтаудың соңғы нүктелерінің ықтимал себептері ретінде қауіп факторларын бағалау әдістеріне арналған. Студенттер аурудың пайда болу және әсер ету шараларын зерттейді; себеп пен оның тұжырымдамасын анықтау; эпидемиологиялық зерттеулердің негізгі логикасын және олардың дизайнын білу; эпидемиологиялық мәліметтердің қалай жиналғанын білу; оқу конструкцияларымен байланысты күшті жақтарын, шектеулерін және жағымсыздықтарын білуге; эпидемиологияда қолданылатын негізгі математикалық қағидаларды білу; Эпидемиологиялық зерттеулер жүргізудегі этикалық мәселелерді талқылайды.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аяқталғаннан кейін студенттің мүмкіндігі болады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Эпидемиологиялық зерттеулерде негізгі жобалау стратегияларын қолданыңыз.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Эмпирикалық зерттеулерді жоспарлау, мәліметтер жинау, деректерді талдау, қорытындыларды түсіндіру және нәтижелерді денсаулық сақтау мен клиникалық медицинада қолдану арасындағы маңызды байланыстарды мойындаңыз.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Халық денсаулығы мен биомедициналық әдебиеттерді сыни тұрғыдан талдау және түсіндіру үшін эпидемиологиялық әдістерді қолданыңыз.</w:t>
            </w:r>
          </w:p>
          <w:p w:rsidR="009D5ECF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Эпидемиологиялық зерттеулерге қатысты этикалық және саясат мәселелерін түсіну.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2065"/>
        <w:gridCol w:w="7715"/>
      </w:tblGrid>
      <w:tr w:rsidR="000D40FB" w:rsidRPr="00EE17C5" w:rsidTr="00AD10F8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24353E" w:rsidP="002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 and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 requisite</w:t>
            </w:r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24353E">
            <w:pPr>
              <w:pStyle w:val="11"/>
              <w:jc w:val="both"/>
              <w:rPr>
                <w:sz w:val="24"/>
                <w:szCs w:val="24"/>
              </w:rPr>
            </w:pPr>
            <w:r w:rsidRPr="00EE17C5">
              <w:rPr>
                <w:sz w:val="24"/>
                <w:szCs w:val="24"/>
              </w:rPr>
              <w:t>Эпидемиология, дәлелді медицина негіздері, биостатистика, жетілдірілген эпидемиология</w:t>
            </w:r>
          </w:p>
        </w:tc>
      </w:tr>
      <w:tr w:rsidR="000D40FB" w:rsidRPr="004F7F73" w:rsidTr="00AD10F8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24353E" w:rsidP="0019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Literature</w:t>
            </w:r>
            <w:r w:rsidR="00193C99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4E4E0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source</w:t>
            </w:r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93C99" w:rsidRDefault="00193C99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Required reading</w:t>
            </w:r>
            <w:r w:rsidR="00E9752B"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752B" w:rsidRPr="00193C99" w:rsidRDefault="00E9752B" w:rsidP="00C76E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Aschengrau A., Essentials of Epidemiology in Public Health, 3rd Edition, 2008</w:t>
            </w:r>
          </w:p>
          <w:p w:rsidR="00E9752B" w:rsidRPr="00193C99" w:rsidRDefault="00193C99" w:rsidP="00C76ED1">
            <w:pPr>
              <w:spacing w:after="0" w:line="240" w:lineRule="auto"/>
              <w:ind w:left="4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Recommended reading</w:t>
            </w:r>
            <w:r w:rsidR="00E9752B" w:rsidRPr="00193C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Gordis: Epidemiology, 5th Edition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Saunders 2013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Rothman K., Modern Epidemiology, 3rd Edition, 2008 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Pickles A. Epidemiological Methods in Life Course Research, 1st Edition, 2007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Webb P and Bain C. Essential Epidemiology: An introduction for Students and Health Professionals. Second Edition. Cambridge University Press. 2011.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Wolfgang, A.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 of Epidemiology. Vol.1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Ahrens Wolfgang,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4F9A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Iris.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ed.- Springer Reference, 2014.- 469 p. </w:t>
            </w:r>
          </w:p>
          <w:p w:rsidR="00E9752B" w:rsidRPr="004E4E05" w:rsidRDefault="00E9752B" w:rsidP="002823A0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and methods of Epidemiology. 3-d Edition.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Dicker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C46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epidemiologic program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СДС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2012.-457 </w:t>
            </w:r>
            <w:r w:rsidR="00C16C46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30390" w:rsidRPr="004E4E05" w:rsidRDefault="00930390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of Epidemiology in Public Health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Practice. Third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An introduction to Epidemiology and Biostatics.US, CDC,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Atlanta.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2012.-6-75 p.</w:t>
            </w:r>
          </w:p>
          <w:p w:rsidR="00CD28A7" w:rsidRPr="004E4E05" w:rsidRDefault="00CD28A7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Hennekens, C., &amp; Buring, J. (1987). Epidemiology in Medicine, Boston/Toronto: Little, Brown and Company. </w:t>
            </w:r>
          </w:p>
          <w:p w:rsidR="00CD28A7" w:rsidRPr="004E4E05" w:rsidRDefault="00CD28A7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Kelsey, J., Whittemore, A., Evans, A. &amp; Thompson, D. (1996). Methods in Observational Epidemiology, Second Edition, New York: Oxford University Press.</w:t>
            </w:r>
          </w:p>
          <w:p w:rsidR="00E9752B" w:rsidRPr="00A22C88" w:rsidRDefault="00193C99" w:rsidP="00C76ED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 source</w:t>
            </w:r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E9752B" w:rsidRPr="00A22C88" w:rsidRDefault="00660411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9752B" w:rsidRPr="00A22C8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www.who.org</w:t>
              </w:r>
            </w:hyperlink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9752B" w:rsidRPr="00A22C88" w:rsidRDefault="00660411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9752B" w:rsidRPr="00A22C8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www.cdc.gov</w:t>
              </w:r>
            </w:hyperlink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9752B" w:rsidRPr="00734F9A" w:rsidRDefault="00660411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9752B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www.medline</w:t>
              </w:r>
            </w:hyperlink>
            <w:r w:rsidR="00E9752B" w:rsidRP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77696" w:rsidRPr="00734F9A" w:rsidRDefault="00660411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www.cockrain</w:t>
              </w:r>
              <w:r w:rsidR="00D77696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.library</w:t>
              </w:r>
            </w:hyperlink>
          </w:p>
          <w:p w:rsidR="00D77696" w:rsidRPr="00734F9A" w:rsidRDefault="00660411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77696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6462E5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PubMed</w:t>
              </w:r>
            </w:hyperlink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7715"/>
      </w:tblGrid>
      <w:tr w:rsidR="00C9253A" w:rsidRPr="004F7F73" w:rsidTr="00A22C8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2F0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Университеттің этикалық және моральдық құндылықтар контексіндегі академиялық саясаты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Академиялық тәртіп ережелері: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Оқушылар сабаққа қатысады және оқу материалдарын талқылауға дайын болады.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немесе одан көп оқылмаған сабаққа қатысқан оқушылар сабаққа қатысқаны үшін 0 балл алады.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Егер СӨЖ бір аптадан кейін өтсе, онда ол қабылданады, бірақ бағасы 50% төмендейді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Академиялық құндылықтар: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Семинарлар жеке өткізіледі.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Плагиат, жалған құжат, алаяқтық парақтарды пайдалану, білімді бақылаудың барлық сатыларында алдау мүмкін емес.</w:t>
            </w:r>
          </w:p>
          <w:p w:rsidR="000D40FB" w:rsidRPr="004E4E0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Мүмкіндігі шектеулі студенттер кеңестерді мына жерден ала алады</w:t>
            </w: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D28A7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="000D40FB" w:rsidRPr="004E4E0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iskakovaf@gmail.com</w:t>
              </w:r>
            </w:hyperlink>
            <w:r w:rsidR="000D40FB"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  </w:t>
            </w:r>
          </w:p>
        </w:tc>
      </w:tr>
      <w:tr w:rsidR="00C9253A" w:rsidRPr="00054429" w:rsidTr="00A22C88">
        <w:trPr>
          <w:trHeight w:val="7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2F0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</w:rPr>
              <w:t>Бағалау және сертификаттау саясаты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Критериалды бағалау бағалауды дескрипторлар бойынша бағалауды қарастырады (аралық бақылау мен емтихандар кезінде біліктіліктің қалыптасуын тексеру).</w:t>
            </w:r>
          </w:p>
          <w:p w:rsidR="00C9253A" w:rsidRPr="002F0438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</w:rPr>
              <w:t>Жиынтық бағалау: оқушының сабаққа қатысуын, сабақтың белсенділігі мен тапсырманың орындалуын бағалау.</w:t>
            </w:r>
          </w:p>
        </w:tc>
      </w:tr>
    </w:tbl>
    <w:p w:rsidR="000D40FB" w:rsidRDefault="00717B08" w:rsidP="0071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08">
        <w:rPr>
          <w:rFonts w:ascii="Times New Roman" w:hAnsi="Times New Roman" w:cs="Times New Roman"/>
          <w:b/>
          <w:sz w:val="24"/>
          <w:szCs w:val="24"/>
        </w:rPr>
        <w:t>Сабақ кестесі</w:t>
      </w:r>
    </w:p>
    <w:tbl>
      <w:tblPr>
        <w:tblStyle w:val="a7"/>
        <w:tblW w:w="9715" w:type="dxa"/>
        <w:tblLayout w:type="fixed"/>
        <w:tblLook w:val="04A0" w:firstRow="1" w:lastRow="0" w:firstColumn="1" w:lastColumn="0" w:noHBand="0" w:noVBand="1"/>
      </w:tblPr>
      <w:tblGrid>
        <w:gridCol w:w="1435"/>
        <w:gridCol w:w="6120"/>
        <w:gridCol w:w="1087"/>
        <w:gridCol w:w="1073"/>
      </w:tblGrid>
      <w:tr w:rsidR="00AB0D40" w:rsidRPr="00E11C3C" w:rsidTr="00E11C3C">
        <w:tc>
          <w:tcPr>
            <w:tcW w:w="1435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апта</w:t>
            </w:r>
            <w:r w:rsidR="000D40FB"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D10F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6120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Деректер тақырыбы </w:t>
            </w:r>
          </w:p>
        </w:tc>
        <w:tc>
          <w:tcPr>
            <w:tcW w:w="1087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073" w:type="dxa"/>
          </w:tcPr>
          <w:p w:rsidR="00272E1A" w:rsidRPr="00E11C3C" w:rsidRDefault="00AD10F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aкс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0FB" w:rsidRPr="00E11C3C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үпайла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одуль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Эпидемиология негіздері мен түсініктері</w:t>
            </w:r>
          </w:p>
        </w:tc>
      </w:tr>
      <w:tr w:rsidR="00AB0D40" w:rsidRPr="00E11C3C" w:rsidTr="00E11C3C">
        <w:tc>
          <w:tcPr>
            <w:tcW w:w="1435" w:type="dxa"/>
          </w:tcPr>
          <w:p w:rsidR="000D40FB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B0D40" w:rsidRPr="00E11C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8155C"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D40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20" w:type="dxa"/>
          </w:tcPr>
          <w:p w:rsidR="000D40FB" w:rsidRPr="00E11C3C" w:rsidRDefault="00717B08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Дәріс 1. Эпидемиологияға кіріспе. Эпидемиологияның анықтамасы. Эпидемиологиялық әдістер мен түсініктердің тарихы.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Негізгі эпидемиологиялық функциялар. Эпидемиологиялық көзқарас.</w:t>
            </w:r>
          </w:p>
        </w:tc>
        <w:tc>
          <w:tcPr>
            <w:tcW w:w="1087" w:type="dxa"/>
          </w:tcPr>
          <w:p w:rsidR="000D40FB" w:rsidRPr="00E11C3C" w:rsidRDefault="000D40FB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0D40FB" w:rsidRPr="00E11C3C" w:rsidRDefault="000D40FB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1. Эпидемиологияның анықтамасы, мақсаты мен міндеттері. Себепті ойлау. Негізгі эпидемиологиялық функциялар. Эпидемиологиялық көзқарас.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2/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Аурудың табиғи тарихы және спектрі. Инфекция тізбегі. Эпидемиялық аурулардың пайда болуы.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2-семинар. Аурудың пайда болуы туралы түсінік. Аурудың табиғи тарихы және спектрі. Инфекция тізбегі. Эпидемиялық аурулардың пайда болуы.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өлімнің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жиілігі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туу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Қауымдастық шаралары.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3. Сандық және білікті эпидемиология. Тәуекелдік шаралары. Жиілік өлшемдері. Ауру мен өлімнің жиілігі. Туу (туу) шаралары. Қауымдастық шаралары. Қоғамдық денсаулыққа әсер ету шаралары.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17B08" w:rsidRPr="004F7F73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1-3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1-3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B08" w:rsidRPr="00E11C3C" w:rsidTr="00E11C3C">
        <w:trPr>
          <w:trHeight w:val="242"/>
        </w:trPr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4. Эпидемиологиялық зерттеу. Ауруды зерттеу.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5. Қоғамдық денсаулықты бақылау.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сақтауды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қадағалаудың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проблемаларын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интерпретацияларды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AB0D40" w:rsidRPr="00E11C3C" w:rsidTr="00E11C3C">
        <w:tc>
          <w:tcPr>
            <w:tcW w:w="1435" w:type="dxa"/>
          </w:tcPr>
          <w:p w:rsidR="00E74CE3" w:rsidRPr="00E11C3C" w:rsidRDefault="00E74CE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E74CE3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  <w:r w:rsidR="00E74CE3"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087" w:type="dxa"/>
          </w:tcPr>
          <w:p w:rsidR="00E74CE3" w:rsidRPr="00E11C3C" w:rsidRDefault="00E74CE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E74CE3" w:rsidRPr="00E11C3C" w:rsidRDefault="00E74CE3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. Эпидемиологиядағы әдістемелік тәсілдер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6/21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дизайны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есептері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сериялары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көлденең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4F7F73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6/21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есептері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сериялары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көлденең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қималар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4F7F73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7/28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күштер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RR, AR, AR%, PAR, PAR%.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7/28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беріктік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бірлестігі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RR, AR, AR%, PAR, PAR%.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сайттардағы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мақалаларды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rPr>
          <w:trHeight w:hRule="exact" w:val="1144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8/06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0C5BFA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8. Аналитикалық зерттеулер. Когортты зерттеу. Медицинада қолданылатын күштер мен шектеулер, өлшем бірлестігі. Аурудың пайда болуын бағалау және өлшеу (RR, OR, AR.AR%, PAR, PAR%.)</w:t>
            </w:r>
            <w:r w:rsid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8/06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Когортты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беріктік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зерттеулердегі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экспозицияны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(RR, AR, AR%, PAR, PAR%).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когорттық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сайттардағы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мақалаларды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СОӨЖ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6-7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өткізіледі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Мәтіндік және графикалық мазмұн, Power Point презентациясын дайындау.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8/06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 2. Медицинадағы аналитикалық зерттеулер.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7B08" w:rsidRPr="004F7F73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Рандомизацияланған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бақыланатын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рандомизацияланбаған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Стратификацияланған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факторлық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кезеңдер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дәрілердің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9.Эксперименталды зерттеулер Эксперименталды зерттеулер. Рандомизацияланған бақыланатын және рандомизацияланбаған сынақ. Стратификацияланған, кроссовер, факторлық дизайн және топтық рандомизация. Күш және шектеулер.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10. Оқудағы жағымсыз және жағымсыз факторлар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 зерттеулерге шолу.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0D40" w:rsidRPr="00E11C3C" w:rsidTr="00E11C3C">
        <w:tc>
          <w:tcPr>
            <w:tcW w:w="1435" w:type="dxa"/>
          </w:tcPr>
          <w:p w:rsidR="00E74CE3" w:rsidRPr="00E11C3C" w:rsidRDefault="00E74CE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E74CE3" w:rsidRPr="00E11C3C" w:rsidRDefault="000C5BFA" w:rsidP="00E11C3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Аралық бақылау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емтиханы</w:t>
            </w:r>
          </w:p>
        </w:tc>
        <w:tc>
          <w:tcPr>
            <w:tcW w:w="1087" w:type="dxa"/>
          </w:tcPr>
          <w:p w:rsidR="00E74CE3" w:rsidRPr="00E11C3C" w:rsidRDefault="00E74CE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E74CE3" w:rsidRPr="00E11C3C" w:rsidRDefault="00E74CE3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Модуль III. Эпидемиологияның түрлері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11/27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Дәріс. 11 Диагностикалық және скринингтік сынақтар. Сынақтардың сезімталдығы мен ерекшелігі.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11/27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11-семинар. Диагностикалық және скринингтік сынақтар. Сынақтардың сезімталдығы мен ерекшелігі.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rPr>
          <w:trHeight w:hRule="exact" w:val="622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12. Эпидемиологиядағы статистикалық әдістер. Мета-талдау.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12. Эпидемиологиядағы статистикалық әдістер. Мета-талдау.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4F7F73" w:rsidTr="00E11C3C">
        <w:trPr>
          <w:trHeight w:val="252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ОЖСӨЖ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11-12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val="252"/>
        </w:trPr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 4.Клиникалық сынақ 1.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17B08" w:rsidRPr="00E11C3C" w:rsidTr="00E11C3C">
        <w:trPr>
          <w:trHeight w:val="251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DEPTH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08" w:rsidRPr="00E11C3C" w:rsidTr="00E11C3C">
        <w:trPr>
          <w:trHeight w:val="288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13. Медицинадағы DEPTH моделі. Медицинада эпидемиологиялық зерттеулерді енгізу.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7B08" w:rsidRPr="00E11C3C" w:rsidTr="00E11C3C">
        <w:trPr>
          <w:trHeight w:val="20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14. Экспозицияға бағытталған эпидемиология.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val="20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Экспозицияға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радиациялық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4F7F73" w:rsidTr="00E11C3C">
        <w:trPr>
          <w:trHeight w:hRule="exact" w:val="57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13-14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hRule="exact" w:val="631"/>
        </w:trPr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0C5BFA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 5. Клиникалық эпидемиология және дәлелді медицина.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7B08" w:rsidRPr="00E11C3C" w:rsidTr="00E11C3C">
        <w:trPr>
          <w:trHeight w:hRule="exact" w:val="316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15. Нәтижеге бағытталған эпидемиология.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hRule="exact" w:val="1216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Нәтижеге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инфекциялық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жүрек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тамыр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қатерлі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диабеті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психиатриялық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бұзылулар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AB0D40" w:rsidRPr="00E11C3C" w:rsidTr="00E11C3C">
        <w:trPr>
          <w:trHeight w:val="241"/>
        </w:trPr>
        <w:tc>
          <w:tcPr>
            <w:tcW w:w="1435" w:type="dxa"/>
          </w:tcPr>
          <w:p w:rsidR="00AB0D40" w:rsidRPr="00E11C3C" w:rsidRDefault="00AB0D40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0" w:type="dxa"/>
          </w:tcPr>
          <w:p w:rsidR="00AB0D40" w:rsidRPr="00E11C3C" w:rsidRDefault="00717B08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РБ</w:t>
            </w:r>
            <w:r w:rsidR="00AB0D40"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</w:t>
            </w:r>
          </w:p>
        </w:tc>
        <w:tc>
          <w:tcPr>
            <w:tcW w:w="1087" w:type="dxa"/>
          </w:tcPr>
          <w:p w:rsidR="00AB0D40" w:rsidRPr="00E11C3C" w:rsidRDefault="00AB0D40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AB0D40" w:rsidRPr="00E11C3C" w:rsidRDefault="00AB0D40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AB0D40" w:rsidRPr="00E11C3C" w:rsidTr="00E11C3C">
        <w:trPr>
          <w:trHeight w:val="241"/>
        </w:trPr>
        <w:tc>
          <w:tcPr>
            <w:tcW w:w="1435" w:type="dxa"/>
          </w:tcPr>
          <w:p w:rsidR="00AB0D40" w:rsidRPr="00E11C3C" w:rsidRDefault="00AB0D40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0" w:type="dxa"/>
          </w:tcPr>
          <w:p w:rsidR="00AB0D40" w:rsidRPr="00E11C3C" w:rsidRDefault="000C5BFA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Қорытынды емтихан</w:t>
            </w:r>
          </w:p>
        </w:tc>
        <w:tc>
          <w:tcPr>
            <w:tcW w:w="1087" w:type="dxa"/>
          </w:tcPr>
          <w:p w:rsidR="00AB0D40" w:rsidRPr="00E11C3C" w:rsidRDefault="00AB0D40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AB0D40" w:rsidRPr="00E11C3C" w:rsidRDefault="00AB0D40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0D40FB" w:rsidRPr="004E4E05" w:rsidRDefault="000D40FB" w:rsidP="000D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3036" w:rsidRPr="004E4E05" w:rsidRDefault="000C5BFA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Лектор: м.ғ.д.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4E05" w:rsidRPr="000C5BF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37F60" w:rsidRPr="000C5B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Ф.А.Искакова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3036" w:rsidRP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t>Кафедра меңгерушісі, PhD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4E0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E4E0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С.А. Мамырбекова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D3B69" w:rsidRP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t>Әдістемелік бюроның төрағасы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62E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А.Е. </w:t>
      </w:r>
      <w:r>
        <w:rPr>
          <w:rFonts w:ascii="Times New Roman" w:hAnsi="Times New Roman" w:cs="Times New Roman"/>
          <w:sz w:val="24"/>
          <w:szCs w:val="24"/>
          <w:lang w:val="kk-KZ"/>
        </w:rPr>
        <w:t>Уалиева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E4E05" w:rsidRPr="00831473" w:rsidRDefault="004E4E05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9CA" w:rsidRPr="00831473" w:rsidRDefault="003D29CA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D29CA" w:rsidRPr="00831473" w:rsidRDefault="003D29CA" w:rsidP="003D29CA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  <w:sectPr w:rsidR="003D29CA" w:rsidRPr="00831473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9CA" w:rsidRDefault="00E11C3C" w:rsidP="003D29C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C3C">
        <w:rPr>
          <w:rFonts w:ascii="Times New Roman" w:hAnsi="Times New Roman" w:cs="Times New Roman"/>
          <w:lang w:val="en-US"/>
        </w:rPr>
        <w:lastRenderedPageBreak/>
        <w:t>Сыныпты бағалау критерийлері</w:t>
      </w:r>
    </w:p>
    <w:tbl>
      <w:tblPr>
        <w:tblW w:w="14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88"/>
        <w:gridCol w:w="4111"/>
        <w:gridCol w:w="2098"/>
        <w:gridCol w:w="2250"/>
        <w:gridCol w:w="2340"/>
        <w:gridCol w:w="2520"/>
      </w:tblGrid>
      <w:tr w:rsidR="002823A0" w:rsidRPr="00163A19" w:rsidTr="002823A0">
        <w:trPr>
          <w:trHeight w:hRule="exact" w:val="43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3A0" w:rsidRPr="00E11C3C" w:rsidRDefault="00E11C3C" w:rsidP="00E11C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критерийлер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A22C8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0-5</w:t>
            </w:r>
          </w:p>
        </w:tc>
      </w:tr>
      <w:tr w:rsidR="002823A0" w:rsidRPr="00163A19" w:rsidTr="002823A0">
        <w:trPr>
          <w:cantSplit/>
          <w:trHeight w:hRule="exact" w:val="43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тамаша</w:t>
            </w:r>
          </w:p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E11C3C" w:rsidRDefault="00E11C3C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үздіксіз</w:t>
            </w:r>
          </w:p>
        </w:tc>
      </w:tr>
      <w:tr w:rsidR="002823A0" w:rsidRPr="00163A19" w:rsidTr="002823A0">
        <w:trPr>
          <w:cantSplit/>
          <w:trHeight w:hRule="exact" w:val="432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23A0" w:rsidRPr="004F7F73" w:rsidTr="002823A0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correct and complete answers to all theoretical questions are given;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forth correctly with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adherence to logical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</w:t>
            </w:r>
          </w:p>
          <w:p w:rsidR="002823A0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abilities.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correct but incomplete answers to all theoretical questions are given and is admitted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errors or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inaccuracies;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completed, however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mistake made;</w:t>
            </w:r>
          </w:p>
          <w:p w:rsidR="002823A0" w:rsidRPr="00163A19" w:rsidRDefault="00D72AF8" w:rsidP="00163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correctly </w:t>
            </w:r>
            <w:r w:rsid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="00CC39A1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The answers to theoretical questions are given correctly but they are incomplete and </w:t>
            </w:r>
            <w:r w:rsidR="00163A19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inaccurate in</w:t>
            </w:r>
            <w:r w:rsidR="00CC39A1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the wording and are logical errors;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2823A0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F8" w:rsidRPr="00163A19" w:rsidRDefault="002823A0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D72AF8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 to theoretical questions contain gross errors;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completed;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statement of the answer includes grammar </w:t>
            </w:r>
            <w:r w:rsidR="00163A19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terminological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mistakes, and logical</w:t>
            </w:r>
          </w:p>
          <w:p w:rsidR="002823A0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  <w:tr w:rsidR="002823A0" w:rsidRPr="00054429" w:rsidTr="002823A0">
        <w:trPr>
          <w:trHeight w:val="54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C39A1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A1" w:rsidRPr="00163A19" w:rsidRDefault="00CC39A1" w:rsidP="00CC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23A0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4F7F73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163A19" w:rsidP="00282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8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 Exposure or outcome.  Измерение рисков в исследовании: RR, OR, AR. Measurement of expose in studies: RR, OR, AR.  Practical work using scientific articles from websites as an example.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35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cantSplit/>
          <w:trHeight w:val="27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23A0" w:rsidRPr="00054429" w:rsidTr="002823A0">
        <w:trPr>
          <w:cantSplit/>
          <w:trHeight w:hRule="exact" w:val="51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39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cantSplit/>
          <w:trHeight w:val="52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63A19" w:rsidRPr="00A22C88" w:rsidRDefault="00163A19" w:rsidP="00A22C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23A0" w:rsidRPr="00A22C88" w:rsidRDefault="002823A0" w:rsidP="00A22C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C8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Masters Independent Work Criteria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8"/>
        <w:gridCol w:w="2325"/>
        <w:gridCol w:w="2422"/>
        <w:gridCol w:w="3209"/>
        <w:gridCol w:w="2950"/>
        <w:gridCol w:w="2868"/>
      </w:tblGrid>
      <w:tr w:rsidR="002823A0" w:rsidRPr="00163A19" w:rsidTr="00461032">
        <w:trPr>
          <w:trHeight w:hRule="exact" w:val="432"/>
        </w:trPr>
        <w:tc>
          <w:tcPr>
            <w:tcW w:w="778" w:type="dxa"/>
            <w:vMerge w:val="restart"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868" w:type="dxa"/>
            <w:tcBorders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0-3</w:t>
            </w:r>
          </w:p>
        </w:tc>
      </w:tr>
      <w:tr w:rsidR="00461032" w:rsidRPr="00163A19" w:rsidTr="00680CA7">
        <w:trPr>
          <w:trHeight w:hRule="exact" w:val="432"/>
        </w:trPr>
        <w:tc>
          <w:tcPr>
            <w:tcW w:w="778" w:type="dxa"/>
            <w:vMerge/>
          </w:tcPr>
          <w:p w:rsidR="00461032" w:rsidRPr="00163A19" w:rsidRDefault="00461032" w:rsidP="00461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right w:val="single" w:sz="4" w:space="0" w:color="auto"/>
            </w:tcBorders>
          </w:tcPr>
          <w:p w:rsidR="00461032" w:rsidRPr="00163A19" w:rsidRDefault="00461032" w:rsidP="00461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Excellent 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Good 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2AF8" w:rsidRPr="00163A19" w:rsidTr="00461032">
        <w:trPr>
          <w:trHeight w:hRule="exact" w:val="432"/>
        </w:trPr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</w:p>
        </w:tc>
      </w:tr>
      <w:tr w:rsidR="00D72AF8" w:rsidRPr="002F0438" w:rsidTr="00163A19">
        <w:trPr>
          <w:trHeight w:hRule="exact" w:val="677"/>
        </w:trPr>
        <w:tc>
          <w:tcPr>
            <w:tcW w:w="778" w:type="dxa"/>
          </w:tcPr>
          <w:p w:rsidR="00D72AF8" w:rsidRPr="00163A19" w:rsidRDefault="00D72AF8" w:rsidP="00D72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D72AF8" w:rsidRPr="00734F9A" w:rsidRDefault="00D72AF8" w:rsidP="00D72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1.Барлық теориялық сұрақтарға дұрыс және толық жауаптар беріледі;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Практикалық тапсырма толығымен шешілді;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Материал логикалық дәйектілікпен дұрыс жазылған;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Шығармашылық қабілеттерін көрсетеді.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Барлық теориялық сұрақтарға дұрыс, бірақ толық емес жауаптар беріліп, қабылданады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шамалы қателер немесе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дәлсіздік;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2. Алайда практикалық тапсырма орындалды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кішігірім қате жіберілген;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3. Материал логикалық ережелерге сәйкес дұрыс қойылған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жүйелі.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Теориялық сұрақтарға жауаптар дұрыс берілген, бірақ олар толық емес және анық емес және логикалық қателер болып табылады;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Практикалық тапсырма толығымен орындалмаған;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Материал дұрыс ұсынылған, бірақ логикалық дәйектілік бұзылған.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Теориялық сұрақтарға жауаптарда өрескел қателер бар;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Практикалық тапсырма аяқталмаған;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Жауаптың тұжырымдамасы грамматикалық және терминологиялықты қамтиды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қателіктер, және логикалық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реттілік бұзылған.</w:t>
            </w: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3A0" w:rsidRPr="00F314C5" w:rsidRDefault="002823A0" w:rsidP="002823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23A0" w:rsidRPr="00E22405" w:rsidRDefault="00461032" w:rsidP="00E22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>Advising MIW</w:t>
      </w:r>
      <w:r w:rsidR="00E22405" w:rsidRPr="00E2240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823A0" w:rsidRP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>Schedule</w:t>
      </w:r>
      <w:r w:rsid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Instructions</w:t>
      </w:r>
    </w:p>
    <w:p w:rsidR="002823A0" w:rsidRPr="00E22405" w:rsidRDefault="002823A0" w:rsidP="00282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5"/>
        <w:gridCol w:w="4770"/>
        <w:gridCol w:w="2430"/>
      </w:tblGrid>
      <w:tr w:rsidR="002823A0" w:rsidRPr="00E22405" w:rsidTr="00A22C88">
        <w:trPr>
          <w:trHeight w:hRule="exact" w:val="363"/>
        </w:trPr>
        <w:tc>
          <w:tcPr>
            <w:tcW w:w="1705" w:type="dxa"/>
          </w:tcPr>
          <w:p w:rsidR="002823A0" w:rsidRPr="00E22405" w:rsidRDefault="00461032" w:rsidP="00461032">
            <w:pPr>
              <w:rPr>
                <w:b/>
                <w:sz w:val="24"/>
                <w:szCs w:val="24"/>
                <w:lang w:val="en-US"/>
              </w:rPr>
            </w:pPr>
            <w:r w:rsidRPr="00163A19">
              <w:rPr>
                <w:b/>
                <w:sz w:val="24"/>
                <w:szCs w:val="24"/>
                <w:lang w:val="en-US"/>
              </w:rPr>
              <w:t>Week</w:t>
            </w:r>
            <w:r w:rsidRPr="00E22405">
              <w:rPr>
                <w:b/>
                <w:sz w:val="24"/>
                <w:szCs w:val="24"/>
                <w:lang w:val="en-US"/>
              </w:rPr>
              <w:t xml:space="preserve"> / </w:t>
            </w:r>
            <w:r w:rsidRPr="00163A19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770" w:type="dxa"/>
          </w:tcPr>
          <w:p w:rsidR="002823A0" w:rsidRPr="00163A19" w:rsidRDefault="00461032" w:rsidP="002823A0">
            <w:pPr>
              <w:rPr>
                <w:b/>
                <w:sz w:val="24"/>
                <w:szCs w:val="24"/>
                <w:lang w:val="en-US"/>
              </w:rPr>
            </w:pPr>
            <w:r w:rsidRPr="00163A19">
              <w:rPr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30" w:type="dxa"/>
          </w:tcPr>
          <w:p w:rsidR="002823A0" w:rsidRPr="00E22405" w:rsidRDefault="00163A19" w:rsidP="00B13F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22405">
              <w:rPr>
                <w:b/>
                <w:sz w:val="24"/>
                <w:szCs w:val="24"/>
                <w:lang w:val="en-US"/>
              </w:rPr>
              <w:t xml:space="preserve">  </w:t>
            </w:r>
            <w:r w:rsidR="00B13FCD">
              <w:rPr>
                <w:b/>
                <w:sz w:val="24"/>
                <w:szCs w:val="24"/>
                <w:lang w:val="en-US"/>
              </w:rPr>
              <w:t>A m</w:t>
            </w:r>
            <w:r w:rsidRPr="00E22405">
              <w:rPr>
                <w:b/>
                <w:sz w:val="24"/>
                <w:szCs w:val="24"/>
                <w:lang w:val="en-US"/>
              </w:rPr>
              <w:t>axim</w:t>
            </w:r>
            <w:r w:rsidR="00B13FCD">
              <w:rPr>
                <w:b/>
                <w:sz w:val="24"/>
                <w:szCs w:val="24"/>
                <w:lang w:val="en-US"/>
              </w:rPr>
              <w:t>um scores</w:t>
            </w:r>
            <w:r w:rsidR="002823A0" w:rsidRPr="00E22405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3/20.09.19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1. 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461032" w:rsidP="004610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 1-4 classes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7/18.10.19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MIWT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Сonsultation on assignment 2.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461032" w:rsidP="0046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 2. 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 6-7 classes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9/01.11.19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MIW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8-9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12/22.11.19</w:t>
            </w: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MIWT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4. 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MIW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4.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11-12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14/03.12.19</w:t>
            </w:r>
          </w:p>
        </w:tc>
        <w:tc>
          <w:tcPr>
            <w:tcW w:w="4770" w:type="dxa"/>
          </w:tcPr>
          <w:p w:rsidR="002823A0" w:rsidRPr="00163A19" w:rsidRDefault="002823A0" w:rsidP="002823A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22C8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</w:t>
            </w: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Сonsultation on assignment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MIT</w:t>
            </w:r>
            <w:r w:rsidR="00E2240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5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13-14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:rsidR="003D29CA" w:rsidRPr="00F314C5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D29CA" w:rsidSect="003D29CA">
      <w:pgSz w:w="16838" w:h="11906" w:orient="landscape"/>
      <w:pgMar w:top="1699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11" w:rsidRDefault="00660411" w:rsidP="00164DA2">
      <w:pPr>
        <w:spacing w:after="0" w:line="240" w:lineRule="auto"/>
      </w:pPr>
      <w:r>
        <w:separator/>
      </w:r>
    </w:p>
  </w:endnote>
  <w:endnote w:type="continuationSeparator" w:id="0">
    <w:p w:rsidR="00660411" w:rsidRDefault="00660411" w:rsidP="0016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FE" w:rsidRDefault="00C72DFE">
    <w:pPr>
      <w:pStyle w:val="af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F7F73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72DFE" w:rsidRDefault="00C72D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11" w:rsidRDefault="00660411" w:rsidP="00164DA2">
      <w:pPr>
        <w:spacing w:after="0" w:line="240" w:lineRule="auto"/>
      </w:pPr>
      <w:r>
        <w:separator/>
      </w:r>
    </w:p>
  </w:footnote>
  <w:footnote w:type="continuationSeparator" w:id="0">
    <w:p w:rsidR="00660411" w:rsidRDefault="00660411" w:rsidP="0016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DDD"/>
    <w:multiLevelType w:val="multilevel"/>
    <w:tmpl w:val="A454C2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2E60"/>
    <w:multiLevelType w:val="hybridMultilevel"/>
    <w:tmpl w:val="44B0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00445"/>
    <w:multiLevelType w:val="hybridMultilevel"/>
    <w:tmpl w:val="04A2FC4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91446F4"/>
    <w:multiLevelType w:val="hybridMultilevel"/>
    <w:tmpl w:val="C51A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A1594"/>
    <w:multiLevelType w:val="hybridMultilevel"/>
    <w:tmpl w:val="EFAC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B4F9A"/>
    <w:multiLevelType w:val="multilevel"/>
    <w:tmpl w:val="19A638F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54429"/>
    <w:rsid w:val="00054CB9"/>
    <w:rsid w:val="0007178B"/>
    <w:rsid w:val="00095204"/>
    <w:rsid w:val="000A4604"/>
    <w:rsid w:val="000A6E9D"/>
    <w:rsid w:val="000C5BFA"/>
    <w:rsid w:val="000C7993"/>
    <w:rsid w:val="000D40FB"/>
    <w:rsid w:val="000D4C62"/>
    <w:rsid w:val="0010129A"/>
    <w:rsid w:val="001144DF"/>
    <w:rsid w:val="00133E67"/>
    <w:rsid w:val="00141E6A"/>
    <w:rsid w:val="00147901"/>
    <w:rsid w:val="001528CF"/>
    <w:rsid w:val="00156BE1"/>
    <w:rsid w:val="00163A19"/>
    <w:rsid w:val="00164DA2"/>
    <w:rsid w:val="00183AD8"/>
    <w:rsid w:val="0018783C"/>
    <w:rsid w:val="00193C99"/>
    <w:rsid w:val="001B265C"/>
    <w:rsid w:val="001B58B0"/>
    <w:rsid w:val="00207E12"/>
    <w:rsid w:val="0023002A"/>
    <w:rsid w:val="0024353E"/>
    <w:rsid w:val="00270C71"/>
    <w:rsid w:val="00272E1A"/>
    <w:rsid w:val="00277D86"/>
    <w:rsid w:val="002823A0"/>
    <w:rsid w:val="00283EE6"/>
    <w:rsid w:val="00294095"/>
    <w:rsid w:val="002C4D9A"/>
    <w:rsid w:val="002F0438"/>
    <w:rsid w:val="002F26C2"/>
    <w:rsid w:val="003377B2"/>
    <w:rsid w:val="00374828"/>
    <w:rsid w:val="003D29CA"/>
    <w:rsid w:val="00406467"/>
    <w:rsid w:val="0041257A"/>
    <w:rsid w:val="004127CB"/>
    <w:rsid w:val="004331A3"/>
    <w:rsid w:val="00441DAC"/>
    <w:rsid w:val="00461032"/>
    <w:rsid w:val="004768F5"/>
    <w:rsid w:val="004A0B4F"/>
    <w:rsid w:val="004A28A0"/>
    <w:rsid w:val="004C5069"/>
    <w:rsid w:val="004D0773"/>
    <w:rsid w:val="004D3218"/>
    <w:rsid w:val="004E196D"/>
    <w:rsid w:val="004E4E05"/>
    <w:rsid w:val="004F7F73"/>
    <w:rsid w:val="005164E4"/>
    <w:rsid w:val="005176D2"/>
    <w:rsid w:val="00550725"/>
    <w:rsid w:val="00596E83"/>
    <w:rsid w:val="005B4221"/>
    <w:rsid w:val="005B5CD3"/>
    <w:rsid w:val="005B7EFF"/>
    <w:rsid w:val="005C090C"/>
    <w:rsid w:val="00607E88"/>
    <w:rsid w:val="00617D64"/>
    <w:rsid w:val="00637E07"/>
    <w:rsid w:val="006462E5"/>
    <w:rsid w:val="00660411"/>
    <w:rsid w:val="00665324"/>
    <w:rsid w:val="006768CA"/>
    <w:rsid w:val="00680CA7"/>
    <w:rsid w:val="006A2D5A"/>
    <w:rsid w:val="006A61BB"/>
    <w:rsid w:val="006F3684"/>
    <w:rsid w:val="00717B08"/>
    <w:rsid w:val="007212C3"/>
    <w:rsid w:val="007217F4"/>
    <w:rsid w:val="00734F9A"/>
    <w:rsid w:val="00740EED"/>
    <w:rsid w:val="007515DA"/>
    <w:rsid w:val="007540D9"/>
    <w:rsid w:val="00797840"/>
    <w:rsid w:val="007A1D6F"/>
    <w:rsid w:val="007A4081"/>
    <w:rsid w:val="007A77E0"/>
    <w:rsid w:val="007B3036"/>
    <w:rsid w:val="007E298D"/>
    <w:rsid w:val="007E5F21"/>
    <w:rsid w:val="0082231C"/>
    <w:rsid w:val="00830FB2"/>
    <w:rsid w:val="00831473"/>
    <w:rsid w:val="00846BEB"/>
    <w:rsid w:val="00862EA9"/>
    <w:rsid w:val="0088155C"/>
    <w:rsid w:val="00887009"/>
    <w:rsid w:val="00893273"/>
    <w:rsid w:val="008E08B3"/>
    <w:rsid w:val="008F3061"/>
    <w:rsid w:val="009153A7"/>
    <w:rsid w:val="00915D93"/>
    <w:rsid w:val="00923DAB"/>
    <w:rsid w:val="00930390"/>
    <w:rsid w:val="009331A2"/>
    <w:rsid w:val="00933579"/>
    <w:rsid w:val="0094246D"/>
    <w:rsid w:val="009465CC"/>
    <w:rsid w:val="00950800"/>
    <w:rsid w:val="0097016E"/>
    <w:rsid w:val="00972022"/>
    <w:rsid w:val="009A3241"/>
    <w:rsid w:val="009A7E68"/>
    <w:rsid w:val="009B63D8"/>
    <w:rsid w:val="009D5ECF"/>
    <w:rsid w:val="009F5487"/>
    <w:rsid w:val="009F6578"/>
    <w:rsid w:val="00A0046F"/>
    <w:rsid w:val="00A017C6"/>
    <w:rsid w:val="00A0363D"/>
    <w:rsid w:val="00A0436A"/>
    <w:rsid w:val="00A077A3"/>
    <w:rsid w:val="00A11043"/>
    <w:rsid w:val="00A17FE9"/>
    <w:rsid w:val="00A22C88"/>
    <w:rsid w:val="00A37F60"/>
    <w:rsid w:val="00A66793"/>
    <w:rsid w:val="00AA0184"/>
    <w:rsid w:val="00AB0D40"/>
    <w:rsid w:val="00AB2981"/>
    <w:rsid w:val="00AC76C0"/>
    <w:rsid w:val="00AD10F8"/>
    <w:rsid w:val="00AD3B69"/>
    <w:rsid w:val="00AD5ACF"/>
    <w:rsid w:val="00AE2ABC"/>
    <w:rsid w:val="00B04FB8"/>
    <w:rsid w:val="00B13FCD"/>
    <w:rsid w:val="00B169FA"/>
    <w:rsid w:val="00B30881"/>
    <w:rsid w:val="00B4165A"/>
    <w:rsid w:val="00B84AA6"/>
    <w:rsid w:val="00B84F47"/>
    <w:rsid w:val="00BD53AF"/>
    <w:rsid w:val="00C01B38"/>
    <w:rsid w:val="00C16C46"/>
    <w:rsid w:val="00C324AB"/>
    <w:rsid w:val="00C56EE3"/>
    <w:rsid w:val="00C72DFE"/>
    <w:rsid w:val="00C734EE"/>
    <w:rsid w:val="00C73C6C"/>
    <w:rsid w:val="00C76ED1"/>
    <w:rsid w:val="00C9253A"/>
    <w:rsid w:val="00CC3379"/>
    <w:rsid w:val="00CC39A1"/>
    <w:rsid w:val="00CD28A7"/>
    <w:rsid w:val="00CF4B48"/>
    <w:rsid w:val="00D02EE9"/>
    <w:rsid w:val="00D117DB"/>
    <w:rsid w:val="00D27CEA"/>
    <w:rsid w:val="00D319CD"/>
    <w:rsid w:val="00D34426"/>
    <w:rsid w:val="00D65A69"/>
    <w:rsid w:val="00D72AF8"/>
    <w:rsid w:val="00D74344"/>
    <w:rsid w:val="00D77696"/>
    <w:rsid w:val="00D81380"/>
    <w:rsid w:val="00D825D7"/>
    <w:rsid w:val="00DB3255"/>
    <w:rsid w:val="00DE13E5"/>
    <w:rsid w:val="00DE1808"/>
    <w:rsid w:val="00DF1C76"/>
    <w:rsid w:val="00DF3AFB"/>
    <w:rsid w:val="00DF3F03"/>
    <w:rsid w:val="00E11C3C"/>
    <w:rsid w:val="00E15E31"/>
    <w:rsid w:val="00E1672D"/>
    <w:rsid w:val="00E205D9"/>
    <w:rsid w:val="00E2164F"/>
    <w:rsid w:val="00E22405"/>
    <w:rsid w:val="00E310D1"/>
    <w:rsid w:val="00E34393"/>
    <w:rsid w:val="00E74CE3"/>
    <w:rsid w:val="00E843B1"/>
    <w:rsid w:val="00E9752B"/>
    <w:rsid w:val="00EA2090"/>
    <w:rsid w:val="00EB08D8"/>
    <w:rsid w:val="00EC1BFB"/>
    <w:rsid w:val="00EC5750"/>
    <w:rsid w:val="00EE17C5"/>
    <w:rsid w:val="00F31A45"/>
    <w:rsid w:val="00F44487"/>
    <w:rsid w:val="00F46EB3"/>
    <w:rsid w:val="00F8140A"/>
    <w:rsid w:val="00FA2530"/>
    <w:rsid w:val="00FC5619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042BF-07AA-43EA-9567-AACC9399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uiPriority w:val="39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F3F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F3F0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164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4DA2"/>
  </w:style>
  <w:style w:type="paragraph" w:styleId="af">
    <w:name w:val="footer"/>
    <w:basedOn w:val="a"/>
    <w:link w:val="af0"/>
    <w:uiPriority w:val="99"/>
    <w:unhideWhenUsed/>
    <w:rsid w:val="00164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org" TargetMode="External"/><Relationship Id="rId13" Type="http://schemas.openxmlformats.org/officeDocument/2006/relationships/hyperlink" Target="mailto:iskakova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m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ckraine.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BA15-8D37-4C43-AC17-E58ED802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2031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Фарида</cp:lastModifiedBy>
  <cp:revision>3</cp:revision>
  <cp:lastPrinted>2019-10-30T12:48:00Z</cp:lastPrinted>
  <dcterms:created xsi:type="dcterms:W3CDTF">2020-01-14T15:57:00Z</dcterms:created>
  <dcterms:modified xsi:type="dcterms:W3CDTF">2020-01-14T16:02:00Z</dcterms:modified>
</cp:coreProperties>
</file>